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7E" w:rsidRPr="00587EA2" w:rsidRDefault="008D5B7E" w:rsidP="008D5B7E">
      <w:pPr>
        <w:tabs>
          <w:tab w:val="left" w:pos="1440"/>
        </w:tabs>
        <w:jc w:val="center"/>
        <w:rPr>
          <w:b/>
        </w:rPr>
      </w:pPr>
      <w:r w:rsidRPr="00587EA2">
        <w:rPr>
          <w:rFonts w:cs="Arial"/>
          <w:b/>
        </w:rPr>
        <w:t>PERMIT APPROVAL STATUS FORM</w:t>
      </w:r>
    </w:p>
    <w:p w:rsidR="008D5B7E" w:rsidRPr="00587EA2" w:rsidRDefault="008D5B7E" w:rsidP="008D5B7E">
      <w:pPr>
        <w:tabs>
          <w:tab w:val="left" w:pos="540"/>
        </w:tabs>
        <w:jc w:val="center"/>
        <w:rPr>
          <w:rFonts w:cs="Arial"/>
          <w:b/>
        </w:rPr>
      </w:pPr>
      <w:r w:rsidRPr="00587EA2">
        <w:rPr>
          <w:rFonts w:cs="Arial"/>
          <w:b/>
        </w:rPr>
        <w:t>List is not all inclusive.  It is Grantee’s responsibility to comply with all applicable permits.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063"/>
        <w:gridCol w:w="1178"/>
        <w:gridCol w:w="1036"/>
        <w:gridCol w:w="1169"/>
        <w:gridCol w:w="1329"/>
      </w:tblGrid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Permitting Agency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Type of Requirement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Required?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Applied?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Acquired?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Date Anticipated</w:t>
            </w:r>
          </w:p>
        </w:tc>
      </w:tr>
      <w:tr w:rsidR="008D5B7E" w:rsidRPr="004A543A" w:rsidTr="006716EB">
        <w:trPr>
          <w:trHeight w:val="17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A543A">
              <w:rPr>
                <w:rFonts w:cs="Arial"/>
                <w:b/>
                <w:sz w:val="18"/>
                <w:szCs w:val="18"/>
              </w:rPr>
              <w:t>STATE AGENCIES:</w:t>
            </w:r>
          </w:p>
        </w:tc>
      </w:tr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State Office of Historic Preservation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Cultural Resources-Submission of findings to State Historic Preservation Officer (National Historic Preservation Act, Section 106)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sz w:val="18"/>
                <w:szCs w:val="18"/>
              </w:rPr>
              <w:t>Native American Heritage Commission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961A86" w:rsidRDefault="008D5B7E" w:rsidP="006716EB">
            <w:pPr>
              <w:spacing w:after="0" w:line="240" w:lineRule="auto"/>
              <w:rPr>
                <w:sz w:val="18"/>
                <w:szCs w:val="18"/>
              </w:rPr>
            </w:pPr>
            <w:r w:rsidRPr="004A543A">
              <w:rPr>
                <w:sz w:val="18"/>
                <w:szCs w:val="18"/>
              </w:rPr>
              <w:t xml:space="preserve">Notification of proposed action to California Native American tribe with traditional lands located within project area.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Coastal Commission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Coastal Development Permit / Letter of Consistency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proofErr w:type="spellStart"/>
            <w:r w:rsidRPr="0046108F">
              <w:rPr>
                <w:rFonts w:cs="Arial"/>
                <w:sz w:val="18"/>
                <w:szCs w:val="18"/>
              </w:rPr>
              <w:t>CalTrans</w:t>
            </w:r>
            <w:proofErr w:type="spellEnd"/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 xml:space="preserve">Encroachment Permit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Regional Water Quality Control Board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401 Water Quality Certification or Waste Discharge Requirement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Water Rights Permit/ General Industrial Storm Water Permit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D5B7E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8D5B7E" w:rsidRPr="0046108F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State Lands Commission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Permit required if using State owned property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82F4A">
              <w:rPr>
                <w:rFonts w:cs="Arial"/>
                <w:sz w:val="18"/>
                <w:szCs w:val="18"/>
              </w:rPr>
            </w:r>
            <w:r w:rsidR="00782F4A"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8D5B7E" w:rsidRPr="004A543A" w:rsidRDefault="008D5B7E" w:rsidP="006716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173C2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A173C2" w:rsidRPr="0046108F" w:rsidRDefault="00A173C2" w:rsidP="00A173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California Department of Fish and Wildlife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A173C2" w:rsidRPr="004A543A" w:rsidRDefault="00A173C2" w:rsidP="00A173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Scientific Collecting Permit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173C2" w:rsidRPr="004A543A" w:rsidRDefault="00A173C2" w:rsidP="00A173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A173C2" w:rsidRPr="004A543A" w:rsidRDefault="00A173C2" w:rsidP="00A173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173C2" w:rsidRPr="004A543A" w:rsidRDefault="00A173C2" w:rsidP="00A173C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A173C2" w:rsidRPr="004A543A" w:rsidRDefault="00A173C2" w:rsidP="00A173C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782F4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California Department of Fish and Wildlife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Streambed Alteration Agreement</w:t>
            </w:r>
            <w:bookmarkStart w:id="0" w:name="_GoBack"/>
            <w:bookmarkEnd w:id="0"/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6716EB">
        <w:trPr>
          <w:trHeight w:val="17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6108F">
              <w:rPr>
                <w:rFonts w:cs="Arial"/>
                <w:b/>
                <w:sz w:val="18"/>
                <w:szCs w:val="18"/>
              </w:rPr>
              <w:t>FEDERAL AGENCIES</w:t>
            </w:r>
          </w:p>
        </w:tc>
      </w:tr>
      <w:tr w:rsidR="00782F4A" w:rsidRPr="004A543A" w:rsidTr="00A173C2">
        <w:trPr>
          <w:trHeight w:val="511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 xml:space="preserve">Native American Graves Protection and Repatriation Act (NAGPRA) 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961A86" w:rsidRDefault="00782F4A" w:rsidP="00782F4A">
            <w:pPr>
              <w:spacing w:after="0" w:line="240" w:lineRule="auto"/>
              <w:rPr>
                <w:sz w:val="18"/>
                <w:szCs w:val="18"/>
              </w:rPr>
            </w:pPr>
            <w:r w:rsidRPr="004A543A">
              <w:rPr>
                <w:sz w:val="18"/>
                <w:szCs w:val="18"/>
              </w:rPr>
              <w:t>R</w:t>
            </w:r>
            <w:r w:rsidRPr="004A543A">
              <w:rPr>
                <w:rFonts w:cs="Arial"/>
                <w:sz w:val="18"/>
                <w:szCs w:val="18"/>
              </w:rPr>
              <w:t>eturn certain Native American cultural items to lineal descendants, and culturally affiliated Indian tribes and Native Hawaiian organizations.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6716EB">
        <w:trPr>
          <w:trHeight w:val="17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46108F">
              <w:rPr>
                <w:rFonts w:cs="Arial"/>
                <w:b/>
                <w:sz w:val="18"/>
                <w:szCs w:val="18"/>
              </w:rPr>
              <w:t>LOCAL AND REGIONAL PLANNING AGENCIES</w:t>
            </w: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Grading Permit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Environmental Health Department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Building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Electrical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Plumbing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Mechanical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Landscaping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Sign Permits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Demolition Permits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17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City/County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 Water Efficient Landscape Ordinance (MWELO)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521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San Francisco Bay Conservation and Development Commission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Any relevant permit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340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Tahoe Regional Planning Agency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Any relevant permit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351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Local Resource Conservation District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Consultation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82F4A" w:rsidRPr="004A543A" w:rsidTr="00A173C2">
        <w:trPr>
          <w:trHeight w:val="53"/>
        </w:trPr>
        <w:tc>
          <w:tcPr>
            <w:tcW w:w="1210" w:type="pct"/>
            <w:shd w:val="clear" w:color="auto" w:fill="auto"/>
            <w:vAlign w:val="center"/>
          </w:tcPr>
          <w:p w:rsidR="00782F4A" w:rsidRPr="0046108F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6108F">
              <w:rPr>
                <w:rFonts w:cs="Arial"/>
                <w:sz w:val="18"/>
                <w:szCs w:val="18"/>
              </w:rPr>
              <w:t>Flood Control Districts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t>Floodway &amp; Hydrological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A54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543A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4A543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82F4A" w:rsidRPr="004A543A" w:rsidRDefault="00782F4A" w:rsidP="00782F4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8D5B7E" w:rsidRDefault="008D5B7E" w:rsidP="008D5B7E">
      <w:pPr>
        <w:rPr>
          <w:rFonts w:cs="Arial"/>
          <w:b/>
          <w:sz w:val="18"/>
          <w:szCs w:val="16"/>
        </w:rPr>
      </w:pPr>
    </w:p>
    <w:p w:rsidR="00F77483" w:rsidRPr="008D5B7E" w:rsidRDefault="008D5B7E" w:rsidP="008D5B7E">
      <w:pPr>
        <w:rPr>
          <w:rFonts w:cs="Arial"/>
          <w:b/>
          <w:sz w:val="18"/>
          <w:szCs w:val="16"/>
        </w:rPr>
      </w:pPr>
      <w:r w:rsidRPr="00587EA2">
        <w:rPr>
          <w:rFonts w:cs="Arial"/>
          <w:b/>
          <w:sz w:val="18"/>
          <w:szCs w:val="16"/>
        </w:rPr>
        <w:t>Important:  If acquiring a long-term encroachment permit, evidence that the entity with jurisdiction over the project is aware of the project and willing to work with the Applicant to issue the permit, must be s</w:t>
      </w:r>
      <w:r>
        <w:rPr>
          <w:rFonts w:cs="Arial"/>
          <w:b/>
          <w:sz w:val="18"/>
          <w:szCs w:val="16"/>
        </w:rPr>
        <w:t xml:space="preserve">ubmitted with the application. </w:t>
      </w:r>
    </w:p>
    <w:sectPr w:rsidR="00F77483" w:rsidRPr="008D5B7E" w:rsidSect="008D5B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29"/>
    <w:rsid w:val="001715CF"/>
    <w:rsid w:val="002E2429"/>
    <w:rsid w:val="003049FE"/>
    <w:rsid w:val="005431A7"/>
    <w:rsid w:val="00782F4A"/>
    <w:rsid w:val="007B2A92"/>
    <w:rsid w:val="008D5B7E"/>
    <w:rsid w:val="00A173C2"/>
    <w:rsid w:val="00F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EFB8"/>
  <w15:docId w15:val="{9E6DF966-592B-45DE-BF72-68875B4A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Water Resources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Zeff, Craig@CNRA</dc:creator>
  <cp:keywords/>
  <dc:description/>
  <cp:lastModifiedBy>Wyer, Holly@CNRA</cp:lastModifiedBy>
  <cp:revision>4</cp:revision>
  <dcterms:created xsi:type="dcterms:W3CDTF">2020-02-26T00:14:00Z</dcterms:created>
  <dcterms:modified xsi:type="dcterms:W3CDTF">2020-02-26T00:17:00Z</dcterms:modified>
</cp:coreProperties>
</file>